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附件2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</w:pP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t>广东省中小学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t>百千万人才培养工程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eastAsia="zh-CN"/>
        </w:rPr>
        <w:t>”省级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t>培养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t>学员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t>推荐名额分配表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</w:pPr>
    </w:p>
    <w:tbl>
      <w:tblPr>
        <w:tblStyle w:val="3"/>
        <w:tblW w:w="8722" w:type="dxa"/>
        <w:tblInd w:w="-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2460"/>
        <w:gridCol w:w="2296"/>
        <w:gridCol w:w="22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Cs w:val="28"/>
                <w:highlight w:val="none"/>
                <w:lang w:eastAsia="zh-CN"/>
              </w:rPr>
              <w:tab/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Cs w:val="28"/>
                <w:highlight w:val="none"/>
                <w:lang w:eastAsia="zh-CN"/>
              </w:rPr>
              <w:t>名额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2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Cs w:val="28"/>
                <w:highlight w:val="none"/>
                <w:lang w:eastAsia="zh-CN"/>
              </w:rPr>
              <w:t>地市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Cs w:val="28"/>
                <w:highlight w:val="none"/>
              </w:rPr>
              <w:t>名教师推荐名额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Cs w:val="28"/>
                <w:highlight w:val="none"/>
              </w:rPr>
              <w:t>名校长推荐名额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Cs w:val="28"/>
                <w:highlight w:val="none"/>
              </w:rPr>
              <w:t>名班主任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Cs w:val="28"/>
                <w:highlight w:val="none"/>
              </w:rPr>
              <w:t>推荐名额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广州市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60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16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深圳市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45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12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珠海市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15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汕头市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38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10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佛山市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38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韶关市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23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10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河源市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18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10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梅州市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30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14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惠州市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27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8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汕尾市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15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东莞市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30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中山市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23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江门市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24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阳江市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17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湛江市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38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16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茂名市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38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16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肇庆市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27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8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清远市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24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8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潮州市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23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8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揭阳市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38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12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云浮市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15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8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小计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606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198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205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省直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eastAsia="zh-CN"/>
              </w:rPr>
              <w:t>单位</w:t>
            </w:r>
          </w:p>
        </w:tc>
        <w:tc>
          <w:tcPr>
            <w:tcW w:w="6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原则上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每个单位每个培养子项目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推荐候选人1名</w:t>
            </w:r>
          </w:p>
        </w:tc>
      </w:tr>
    </w:tbl>
    <w:p>
      <w:pPr>
        <w:spacing w:line="540" w:lineRule="exact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注：省级培养子项目中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智能教育类是对应实施中小学教师信息应用能力提升工程2.0设置培养项目，旨在推进智慧校园建设、促进信息技术与课堂教学深度融合、提升跨学科信息化教学水平。中小学名教师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子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项目学科门类中文科包括道法、思政、语文、英语、历史、地理、音乐、美术、艺术、心理、书法、职业生涯规划等学科；理科包括数学、物理、化学、生物、体育、信息技术、电化教育、综合实践、劳动教育等学科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。</w:t>
      </w:r>
    </w:p>
    <w:p>
      <w:pPr>
        <w:shd w:val="clear" w:color="auto" w:fill="auto"/>
      </w:pPr>
    </w:p>
    <w:p>
      <w:pPr>
        <w:shd w:val="clear" w:color="auto" w:fill="auto"/>
      </w:pPr>
    </w:p>
    <w:p>
      <w:pPr>
        <w:shd w:val="clear" w:color="auto" w:fill="auto"/>
      </w:pPr>
    </w:p>
    <w:p>
      <w:pPr>
        <w:shd w:val="clear" w:color="auto" w:fill="auto"/>
      </w:pPr>
    </w:p>
    <w:p>
      <w:pPr>
        <w:shd w:val="clear" w:color="auto" w:fill="auto"/>
      </w:pPr>
    </w:p>
    <w:p>
      <w:pPr>
        <w:shd w:val="clear" w:color="auto" w:fill="auto"/>
      </w:pPr>
    </w:p>
    <w:p>
      <w:pPr>
        <w:shd w:val="clear" w:color="auto" w:fill="auto"/>
      </w:pPr>
    </w:p>
    <w:p>
      <w:pPr>
        <w:shd w:val="clear" w:color="auto" w:fill="auto"/>
      </w:pPr>
    </w:p>
    <w:p>
      <w:pPr>
        <w:shd w:val="clear" w:color="auto" w:fill="auto"/>
      </w:pPr>
    </w:p>
    <w:p>
      <w:pPr>
        <w:shd w:val="clear" w:color="auto" w:fill="auto"/>
      </w:pPr>
    </w:p>
    <w:p>
      <w:pPr>
        <w:shd w:val="clear" w:color="auto" w:fill="auto"/>
      </w:pPr>
    </w:p>
    <w:p>
      <w:pPr>
        <w:shd w:val="clear" w:color="auto" w:fill="auto"/>
      </w:pPr>
    </w:p>
    <w:p>
      <w:pPr>
        <w:shd w:val="clear" w:color="auto" w:fill="auto"/>
      </w:pPr>
    </w:p>
    <w:p>
      <w:pPr>
        <w:shd w:val="clear" w:color="auto" w:fill="auto"/>
      </w:pPr>
    </w:p>
    <w:p>
      <w:pPr>
        <w:shd w:val="clear" w:color="auto" w:fill="auto"/>
      </w:pPr>
    </w:p>
    <w:p>
      <w:pPr>
        <w:shd w:val="clear" w:color="auto" w:fill="auto"/>
      </w:pPr>
    </w:p>
    <w:p>
      <w:pPr>
        <w:shd w:val="clear" w:color="auto" w:fill="auto"/>
      </w:pPr>
    </w:p>
    <w:p>
      <w:pPr>
        <w:shd w:val="clear" w:color="auto" w:fill="auto"/>
      </w:pPr>
    </w:p>
    <w:p>
      <w:pPr>
        <w:shd w:val="clear" w:color="auto" w:fill="auto"/>
      </w:pPr>
    </w:p>
    <w:p>
      <w:pPr>
        <w:shd w:val="clear" w:color="auto" w:fill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4C12C4"/>
    <w:rsid w:val="584C12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2021-02-22T11:09:00Z</dcterms:created>
  <dc:creator>Lenovo</dc:creator>
  <cp:lastModifiedBy>Lenovo</cp:lastModifiedBy>
  <dcterms:modified xsi:type="dcterms:W3CDTF">2021-02-22T11:10:38Z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